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Asbestos management plan and register</w:t>
      </w:r>
    </w:p>
    <w:p>
      <w:pPr>
        <w:spacing w:after="120" w:before="0"/>
      </w:pPr>
      <w:r>
        <w:rPr>
          <w:b w:val="0"/>
          <w:color w:val="52525B"/>
          <w:sz w:val="20"/>
        </w:rPr>
        <w:t>For dutyholders of non-domestic premises and common parts of domestic premises</w:t>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1. Premises and survey</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5159"/>
        <w:gridCol w:w="5159"/>
      </w:tblGrid>
      <w:tr>
        <w:tc>
          <w:tcPr>
            <w:tcW w:type="dxa" w:w="5159"/>
          </w:tcPr>
          <w:p>
            <w:r>
              <w:rPr>
                <w:color w:val="52525B"/>
                <w:sz w:val="15"/>
              </w:rPr>
              <w:t>Premises name and address</w:t>
            </w:r>
          </w:p>
        </w:tc>
        <w:tc>
          <w:tcPr>
            <w:tcW w:type="dxa" w:w="5159"/>
          </w:tcPr>
          <w:p>
            <w:r>
              <w:rPr>
                <w:color w:val="52525B"/>
                <w:sz w:val="15"/>
              </w:rPr>
              <w:t>Dutyholder (organisation)</w:t>
            </w:r>
          </w:p>
        </w:tc>
      </w:tr>
      <w:tr>
        <w:trPr>
          <w:trHeight w:val="340" w:hRule="atLeast"/>
        </w:trPr>
        <w:tc>
          <w:tcPr>
            <w:tcW w:type="dxa" w:w="5159"/>
            <w:shd w:val="clear" w:color="auto" w:fill="FAFAFA"/>
          </w:tcPr>
          <w:p>
            <w:r>
              <w:t xml:space="preserve"> </w:t>
            </w:r>
          </w:p>
        </w:tc>
        <w:tc>
          <w:tcPr>
            <w:tcW w:type="dxa" w:w="5159"/>
            <w:shd w:val="clear" w:color="auto" w:fill="FAFAFA"/>
          </w:tcPr>
          <w:p>
            <w:r>
              <w:t xml:space="preserve"> </w:t>
            </w:r>
          </w:p>
        </w:tc>
      </w:tr>
      <w:tr>
        <w:tc>
          <w:tcPr>
            <w:tcW w:type="dxa" w:w="5159"/>
          </w:tcPr>
          <w:p>
            <w:r>
              <w:rPr>
                <w:color w:val="52525B"/>
                <w:sz w:val="15"/>
              </w:rPr>
              <w:t>Survey type (management / refurbishment and demolition)</w:t>
            </w:r>
          </w:p>
        </w:tc>
        <w:tc>
          <w:tcPr>
            <w:tcW w:type="dxa" w:w="5159"/>
          </w:tcPr>
          <w:p>
            <w:r>
              <w:rPr>
                <w:color w:val="52525B"/>
                <w:sz w:val="15"/>
              </w:rPr>
              <w:t>Surveyor and survey date</w:t>
            </w:r>
          </w:p>
        </w:tc>
      </w:tr>
      <w:tr>
        <w:trPr>
          <w:trHeight w:val="340" w:hRule="atLeast"/>
        </w:trPr>
        <w:tc>
          <w:tcPr>
            <w:tcW w:type="dxa" w:w="5159"/>
            <w:shd w:val="clear" w:color="auto" w:fill="FAFAFA"/>
          </w:tcPr>
          <w:p>
            <w:r>
              <w:t xml:space="preserve"> </w:t>
            </w:r>
          </w:p>
        </w:tc>
        <w:tc>
          <w:tcPr>
            <w:tcW w:type="dxa" w:w="5159"/>
            <w:shd w:val="clear" w:color="auto" w:fill="FAFAFA"/>
          </w:tcPr>
          <w:p>
            <w:r>
              <w:t xml:space="preserve"> </w:t>
            </w:r>
          </w:p>
        </w:tc>
      </w:tr>
      <w:tr>
        <w:tc>
          <w:tcPr>
            <w:tcW w:type="dxa" w:w="5159"/>
          </w:tcPr>
          <w:p>
            <w:r>
              <w:rPr>
                <w:color w:val="52525B"/>
                <w:sz w:val="15"/>
              </w:rPr>
              <w:t>Survey report reference</w:t>
            </w:r>
          </w:p>
        </w:tc>
        <w:tc>
          <w:tcPr>
            <w:tcW w:type="dxa" w:w="5159"/>
          </w:tcPr>
          <w:p>
            <w:r>
              <w:rPr>
                <w:color w:val="52525B"/>
                <w:sz w:val="15"/>
              </w:rPr>
              <w:t>Date of this plan</w:t>
            </w:r>
          </w:p>
        </w:tc>
      </w:tr>
      <w:tr>
        <w:trPr>
          <w:trHeight w:val="340" w:hRule="atLeast"/>
        </w:trPr>
        <w:tc>
          <w:tcPr>
            <w:tcW w:type="dxa" w:w="5159"/>
            <w:shd w:val="clear" w:color="auto" w:fill="FAFAFA"/>
          </w:tcPr>
          <w:p>
            <w:r>
              <w:t xml:space="preserve"> </w:t>
            </w:r>
          </w:p>
        </w:tc>
        <w:tc>
          <w:tcPr>
            <w:tcW w:type="dxa" w:w="5159"/>
            <w:shd w:val="clear" w:color="auto" w:fill="FAFAFA"/>
          </w:tcPr>
          <w:p>
            <w:r>
              <w:t xml:space="preserve"> </w:t>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2. Who is responsible</w:t>
            </w:r>
          </w:p>
        </w:tc>
      </w:tr>
    </w:tbl>
    <w:p>
      <w:pPr>
        <w:spacing w:after="0" w:before="0"/>
      </w:pPr>
      <w:r>
        <w:rPr>
          <w:b w:val="0"/>
          <w:sz w:val="4"/>
        </w:rPr>
      </w:r>
    </w:p>
    <w:p>
      <w:pPr>
        <w:spacing w:after="40" w:before="0"/>
      </w:pPr>
      <w:r>
        <w:rPr>
          <w:b w:val="0"/>
          <w:sz w:val="18"/>
        </w:rPr>
        <w:t>HSE says the plan should say who is responsible for managing asbestos, including deputies, and who is responsible for each part of the plan.</w:t>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2579"/>
        <w:gridCol w:w="2579"/>
        <w:gridCol w:w="2579"/>
        <w:gridCol w:w="2579"/>
      </w:tblGrid>
      <w:tr>
        <w:tc>
          <w:tcPr>
            <w:tcW w:type="dxa" w:w="2189"/>
            <w:shd w:val="clear" w:color="auto" w:fill="1e3a8a"/>
          </w:tcPr>
          <w:p>
            <w:r>
              <w:rPr>
                <w:b/>
                <w:color w:val="FFFFFF"/>
                <w:sz w:val="15"/>
              </w:rPr>
              <w:t>Role</w:t>
            </w:r>
          </w:p>
        </w:tc>
        <w:tc>
          <w:tcPr>
            <w:tcW w:type="dxa" w:w="2189"/>
            <w:shd w:val="clear" w:color="auto" w:fill="1e3a8a"/>
          </w:tcPr>
          <w:p>
            <w:r>
              <w:rPr>
                <w:b/>
                <w:color w:val="FFFFFF"/>
                <w:sz w:val="15"/>
              </w:rPr>
              <w:t>Name</w:t>
            </w:r>
          </w:p>
        </w:tc>
        <w:tc>
          <w:tcPr>
            <w:tcW w:type="dxa" w:w="2189"/>
            <w:shd w:val="clear" w:color="auto" w:fill="1e3a8a"/>
          </w:tcPr>
          <w:p>
            <w:r>
              <w:rPr>
                <w:b/>
                <w:color w:val="FFFFFF"/>
                <w:sz w:val="15"/>
              </w:rPr>
              <w:t>Contact</w:t>
            </w:r>
          </w:p>
        </w:tc>
        <w:tc>
          <w:tcPr>
            <w:tcW w:type="dxa" w:w="3752"/>
            <w:shd w:val="clear" w:color="auto" w:fill="1e3a8a"/>
          </w:tcPr>
          <w:p>
            <w:r>
              <w:rPr>
                <w:b/>
                <w:color w:val="FFFFFF"/>
                <w:sz w:val="15"/>
              </w:rPr>
              <w:t>Responsible for</w:t>
            </w:r>
          </w:p>
        </w:tc>
      </w:tr>
      <w:tr>
        <w:trPr>
          <w:trHeight w:val="396" w:hRule="atLeast"/>
        </w:trPr>
        <w:tc>
          <w:tcPr>
            <w:tcW w:type="dxa" w:w="2189"/>
          </w:tcPr>
          <w:p>
            <w:r>
              <w:rPr>
                <w:sz w:val="16"/>
              </w:rPr>
            </w:r>
          </w:p>
        </w:tc>
        <w:tc>
          <w:tcPr>
            <w:tcW w:type="dxa" w:w="2189"/>
          </w:tcPr>
          <w:p>
            <w:r>
              <w:rPr>
                <w:sz w:val="16"/>
              </w:rPr>
            </w:r>
          </w:p>
        </w:tc>
        <w:tc>
          <w:tcPr>
            <w:tcW w:type="dxa" w:w="2189"/>
          </w:tcPr>
          <w:p>
            <w:r>
              <w:rPr>
                <w:sz w:val="16"/>
              </w:rPr>
            </w:r>
          </w:p>
        </w:tc>
        <w:tc>
          <w:tcPr>
            <w:tcW w:type="dxa" w:w="3752"/>
          </w:tcPr>
          <w:p>
            <w:r>
              <w:rPr>
                <w:sz w:val="16"/>
              </w:rPr>
            </w:r>
          </w:p>
        </w:tc>
      </w:tr>
      <w:tr>
        <w:trPr>
          <w:trHeight w:val="396" w:hRule="atLeast"/>
        </w:trPr>
        <w:tc>
          <w:tcPr>
            <w:tcW w:type="dxa" w:w="2189"/>
          </w:tcPr>
          <w:p>
            <w:r>
              <w:rPr>
                <w:sz w:val="16"/>
              </w:rPr>
            </w:r>
          </w:p>
        </w:tc>
        <w:tc>
          <w:tcPr>
            <w:tcW w:type="dxa" w:w="2189"/>
          </w:tcPr>
          <w:p>
            <w:r>
              <w:rPr>
                <w:sz w:val="16"/>
              </w:rPr>
            </w:r>
          </w:p>
        </w:tc>
        <w:tc>
          <w:tcPr>
            <w:tcW w:type="dxa" w:w="2189"/>
          </w:tcPr>
          <w:p>
            <w:r>
              <w:rPr>
                <w:sz w:val="16"/>
              </w:rPr>
            </w:r>
          </w:p>
        </w:tc>
        <w:tc>
          <w:tcPr>
            <w:tcW w:type="dxa" w:w="3752"/>
          </w:tcPr>
          <w:p>
            <w:r>
              <w:rPr>
                <w:sz w:val="16"/>
              </w:rPr>
            </w:r>
          </w:p>
        </w:tc>
      </w:tr>
      <w:tr>
        <w:trPr>
          <w:trHeight w:val="396" w:hRule="atLeast"/>
        </w:trPr>
        <w:tc>
          <w:tcPr>
            <w:tcW w:type="dxa" w:w="2189"/>
          </w:tcPr>
          <w:p>
            <w:r>
              <w:rPr>
                <w:sz w:val="16"/>
              </w:rPr>
            </w:r>
          </w:p>
        </w:tc>
        <w:tc>
          <w:tcPr>
            <w:tcW w:type="dxa" w:w="2189"/>
          </w:tcPr>
          <w:p>
            <w:r>
              <w:rPr>
                <w:sz w:val="16"/>
              </w:rPr>
            </w:r>
          </w:p>
        </w:tc>
        <w:tc>
          <w:tcPr>
            <w:tcW w:type="dxa" w:w="2189"/>
          </w:tcPr>
          <w:p>
            <w:r>
              <w:rPr>
                <w:sz w:val="16"/>
              </w:rPr>
            </w:r>
          </w:p>
        </w:tc>
        <w:tc>
          <w:tcPr>
            <w:tcW w:type="dxa" w:w="3752"/>
          </w:tcPr>
          <w:p>
            <w:r>
              <w:rPr>
                <w:sz w:val="16"/>
              </w:rPr>
            </w:r>
          </w:p>
        </w:tc>
      </w:tr>
      <w:tr>
        <w:trPr>
          <w:trHeight w:val="396" w:hRule="atLeast"/>
        </w:trPr>
        <w:tc>
          <w:tcPr>
            <w:tcW w:type="dxa" w:w="2189"/>
          </w:tcPr>
          <w:p>
            <w:r>
              <w:rPr>
                <w:sz w:val="16"/>
              </w:rPr>
            </w:r>
          </w:p>
        </w:tc>
        <w:tc>
          <w:tcPr>
            <w:tcW w:type="dxa" w:w="2189"/>
          </w:tcPr>
          <w:p>
            <w:r>
              <w:rPr>
                <w:sz w:val="16"/>
              </w:rPr>
            </w:r>
          </w:p>
        </w:tc>
        <w:tc>
          <w:tcPr>
            <w:tcW w:type="dxa" w:w="2189"/>
          </w:tcPr>
          <w:p>
            <w:r>
              <w:rPr>
                <w:sz w:val="16"/>
              </w:rPr>
            </w:r>
          </w:p>
        </w:tc>
        <w:tc>
          <w:tcPr>
            <w:tcW w:type="dxa" w:w="3752"/>
          </w:tcPr>
          <w:p>
            <w:r>
              <w:rPr>
                <w:sz w:val="16"/>
              </w:rPr>
            </w:r>
          </w:p>
        </w:tc>
      </w:tr>
      <w:tr>
        <w:trPr>
          <w:trHeight w:val="396" w:hRule="atLeast"/>
        </w:trPr>
        <w:tc>
          <w:tcPr>
            <w:tcW w:type="dxa" w:w="2189"/>
          </w:tcPr>
          <w:p>
            <w:r>
              <w:rPr>
                <w:sz w:val="16"/>
              </w:rPr>
            </w:r>
          </w:p>
        </w:tc>
        <w:tc>
          <w:tcPr>
            <w:tcW w:type="dxa" w:w="2189"/>
          </w:tcPr>
          <w:p>
            <w:r>
              <w:rPr>
                <w:sz w:val="16"/>
              </w:rPr>
            </w:r>
          </w:p>
        </w:tc>
        <w:tc>
          <w:tcPr>
            <w:tcW w:type="dxa" w:w="2189"/>
          </w:tcPr>
          <w:p>
            <w:r>
              <w:rPr>
                <w:sz w:val="16"/>
              </w:rPr>
            </w:r>
          </w:p>
        </w:tc>
        <w:tc>
          <w:tcPr>
            <w:tcW w:type="dxa" w:w="3752"/>
          </w:tcPr>
          <w:p>
            <w:r>
              <w:rPr>
                <w:sz w:val="16"/>
              </w:rPr>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3. Site plan</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10318"/>
      </w:tblGrid>
      <w:tr>
        <w:tc>
          <w:tcPr>
            <w:tcW w:type="dxa" w:w="10318"/>
          </w:tcPr>
          <w:p>
            <w:r>
              <w:rPr>
                <w:color w:val="52525B"/>
                <w:sz w:val="15"/>
              </w:rPr>
              <w:t>Where is the site plan showing ACMs and areas not inspected kept? (attach a copy)</w:t>
            </w:r>
          </w:p>
        </w:tc>
      </w:tr>
      <w:tr>
        <w:trPr>
          <w:trHeight w:val="340" w:hRule="atLeast"/>
        </w:trPr>
        <w:tc>
          <w:tcPr>
            <w:tcW w:type="dxa" w:w="10318"/>
            <w:shd w:val="clear" w:color="auto" w:fill="FAFAFA"/>
          </w:tcPr>
          <w:p>
            <w:r>
              <w:t xml:space="preserve"> </w:t>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4. Monitoring schedule</w:t>
            </w:r>
          </w:p>
        </w:tc>
      </w:tr>
    </w:tbl>
    <w:p>
      <w:pPr>
        <w:spacing w:after="0" w:before="0"/>
      </w:pPr>
      <w:r>
        <w:rPr>
          <w:b w:val="0"/>
          <w:sz w:val="4"/>
        </w:rPr>
      </w:r>
    </w:p>
    <w:p>
      <w:pPr>
        <w:spacing w:after="40" w:before="0"/>
      </w:pPr>
      <w:r>
        <w:rPr>
          <w:b w:val="0"/>
          <w:sz w:val="18"/>
        </w:rPr>
        <w:t>How often you will check the condition of each ACM, and who does it.</w:t>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2064"/>
        <w:gridCol w:w="2064"/>
        <w:gridCol w:w="2064"/>
        <w:gridCol w:w="2064"/>
        <w:gridCol w:w="2064"/>
      </w:tblGrid>
      <w:tr>
        <w:tc>
          <w:tcPr>
            <w:tcW w:type="dxa" w:w="1290"/>
            <w:shd w:val="clear" w:color="auto" w:fill="1e3a8a"/>
          </w:tcPr>
          <w:p>
            <w:r>
              <w:rPr>
                <w:b/>
                <w:color w:val="FFFFFF"/>
                <w:sz w:val="15"/>
              </w:rPr>
              <w:t>ACM ref</w:t>
            </w:r>
          </w:p>
        </w:tc>
        <w:tc>
          <w:tcPr>
            <w:tcW w:type="dxa" w:w="3224"/>
            <w:shd w:val="clear" w:color="auto" w:fill="1e3a8a"/>
          </w:tcPr>
          <w:p>
            <w:r>
              <w:rPr>
                <w:b/>
                <w:color w:val="FFFFFF"/>
                <w:sz w:val="15"/>
              </w:rPr>
              <w:t>Location</w:t>
            </w:r>
          </w:p>
        </w:tc>
        <w:tc>
          <w:tcPr>
            <w:tcW w:type="dxa" w:w="1935"/>
            <w:shd w:val="clear" w:color="auto" w:fill="1e3a8a"/>
          </w:tcPr>
          <w:p>
            <w:r>
              <w:rPr>
                <w:b/>
                <w:color w:val="FFFFFF"/>
                <w:sz w:val="15"/>
              </w:rPr>
              <w:t>Check frequency</w:t>
            </w:r>
          </w:p>
        </w:tc>
        <w:tc>
          <w:tcPr>
            <w:tcW w:type="dxa" w:w="1935"/>
            <w:shd w:val="clear" w:color="auto" w:fill="1e3a8a"/>
          </w:tcPr>
          <w:p>
            <w:r>
              <w:rPr>
                <w:b/>
                <w:color w:val="FFFFFF"/>
                <w:sz w:val="15"/>
              </w:rPr>
              <w:t>Next check due</w:t>
            </w:r>
          </w:p>
        </w:tc>
        <w:tc>
          <w:tcPr>
            <w:tcW w:type="dxa" w:w="1935"/>
            <w:shd w:val="clear" w:color="auto" w:fill="1e3a8a"/>
          </w:tcPr>
          <w:p>
            <w:r>
              <w:rPr>
                <w:b/>
                <w:color w:val="FFFFFF"/>
                <w:sz w:val="15"/>
              </w:rPr>
              <w:t>Checked by</w:t>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r>
        <w:trPr>
          <w:trHeight w:val="396" w:hRule="atLeast"/>
        </w:trPr>
        <w:tc>
          <w:tcPr>
            <w:tcW w:type="dxa" w:w="1290"/>
          </w:tcPr>
          <w:p>
            <w:r>
              <w:rPr>
                <w:sz w:val="16"/>
              </w:rPr>
            </w:r>
          </w:p>
        </w:tc>
        <w:tc>
          <w:tcPr>
            <w:tcW w:type="dxa" w:w="3224"/>
          </w:tcPr>
          <w:p>
            <w:r>
              <w:rPr>
                <w:sz w:val="16"/>
              </w:rPr>
            </w:r>
          </w:p>
        </w:tc>
        <w:tc>
          <w:tcPr>
            <w:tcW w:type="dxa" w:w="1935"/>
          </w:tcPr>
          <w:p>
            <w:r>
              <w:rPr>
                <w:sz w:val="16"/>
              </w:rPr>
            </w:r>
          </w:p>
        </w:tc>
        <w:tc>
          <w:tcPr>
            <w:tcW w:type="dxa" w:w="1935"/>
          </w:tcPr>
          <w:p>
            <w:r>
              <w:rPr>
                <w:sz w:val="16"/>
              </w:rPr>
            </w:r>
          </w:p>
        </w:tc>
        <w:tc>
          <w:tcPr>
            <w:tcW w:type="dxa" w:w="1935"/>
          </w:tcPr>
          <w:p>
            <w:r>
              <w:rPr>
                <w:sz w:val="16"/>
              </w:rPr>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5. Sharing the register</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10318"/>
      </w:tblGrid>
      <w:tr>
        <w:tc>
          <w:tcPr>
            <w:tcW w:type="dxa" w:w="10318"/>
          </w:tcPr>
          <w:p>
            <w:r>
              <w:rPr>
                <w:color w:val="52525B"/>
                <w:sz w:val="15"/>
              </w:rPr>
              <w:t>How the register and plan are shared with workers and contractors before they work on the building fabric (e.g. shown at sign-in, sent with requests for quotes)</w:t>
            </w:r>
          </w:p>
        </w:tc>
      </w:tr>
      <w:tr>
        <w:trPr>
          <w:trHeight w:val="595" w:hRule="atLeast"/>
        </w:trPr>
        <w:tc>
          <w:tcPr>
            <w:tcW w:type="dxa" w:w="10318"/>
            <w:shd w:val="clear" w:color="auto" w:fill="FAFAFA"/>
          </w:tcPr>
          <w:p>
            <w:r>
              <w:t xml:space="preserve"> </w:t>
            </w:r>
          </w:p>
        </w:tc>
      </w:tr>
    </w:tbl>
    <w:p>
      <w:pPr>
        <w:spacing w:after="0" w:before="0"/>
      </w:pPr>
      <w:r>
        <w:rPr>
          <w:b w:val="0"/>
          <w:sz w:val="4"/>
        </w:rPr>
      </w:r>
    </w:p>
    <w:p>
      <w:r>
        <w:br w:type="page"/>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6. Asbestos register</w:t>
            </w:r>
          </w:p>
        </w:tc>
      </w:tr>
    </w:tbl>
    <w:p>
      <w:pPr>
        <w:spacing w:after="0" w:before="0"/>
      </w:pPr>
      <w:r>
        <w:rPr>
          <w:b w:val="0"/>
          <w:sz w:val="4"/>
        </w:rPr>
      </w:r>
    </w:p>
    <w:p>
      <w:pPr>
        <w:spacing w:after="40" w:before="0"/>
      </w:pPr>
      <w:r>
        <w:rPr>
          <w:b w:val="0"/>
          <w:sz w:val="18"/>
        </w:rPr>
        <w:t>All known and presumed ACMs, the type, amount and condition, the dates of the original and last inspection, the material and priority assessment, and the action decided.</w:t>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1146"/>
        <w:gridCol w:w="1146"/>
        <w:gridCol w:w="1146"/>
        <w:gridCol w:w="1146"/>
        <w:gridCol w:w="1146"/>
        <w:gridCol w:w="1146"/>
        <w:gridCol w:w="1146"/>
        <w:gridCol w:w="1146"/>
        <w:gridCol w:w="1146"/>
      </w:tblGrid>
      <w:tr>
        <w:tc>
          <w:tcPr>
            <w:tcW w:type="dxa" w:w="567"/>
            <w:shd w:val="clear" w:color="auto" w:fill="1e3a8a"/>
          </w:tcPr>
          <w:p>
            <w:r>
              <w:rPr>
                <w:b/>
                <w:color w:val="FFFFFF"/>
                <w:sz w:val="15"/>
              </w:rPr>
              <w:t>Ref</w:t>
            </w:r>
          </w:p>
        </w:tc>
        <w:tc>
          <w:tcPr>
            <w:tcW w:type="dxa" w:w="1587"/>
            <w:shd w:val="clear" w:color="auto" w:fill="1e3a8a"/>
          </w:tcPr>
          <w:p>
            <w:r>
              <w:rPr>
                <w:b/>
                <w:color w:val="FFFFFF"/>
                <w:sz w:val="15"/>
              </w:rPr>
              <w:t>Location</w:t>
            </w:r>
          </w:p>
        </w:tc>
        <w:tc>
          <w:tcPr>
            <w:tcW w:type="dxa" w:w="1474"/>
            <w:shd w:val="clear" w:color="auto" w:fill="1e3a8a"/>
          </w:tcPr>
          <w:p>
            <w:r>
              <w:rPr>
                <w:b/>
                <w:color w:val="FFFFFF"/>
                <w:sz w:val="15"/>
              </w:rPr>
              <w:t>Material / product</w:t>
            </w:r>
          </w:p>
        </w:tc>
        <w:tc>
          <w:tcPr>
            <w:tcW w:type="dxa" w:w="907"/>
            <w:shd w:val="clear" w:color="auto" w:fill="1e3a8a"/>
          </w:tcPr>
          <w:p>
            <w:r>
              <w:rPr>
                <w:b/>
                <w:color w:val="FFFFFF"/>
                <w:sz w:val="15"/>
              </w:rPr>
              <w:t>Extent</w:t>
            </w:r>
          </w:p>
        </w:tc>
        <w:tc>
          <w:tcPr>
            <w:tcW w:type="dxa" w:w="1587"/>
            <w:shd w:val="clear" w:color="auto" w:fill="1e3a8a"/>
          </w:tcPr>
          <w:p>
            <w:r>
              <w:rPr>
                <w:b/>
                <w:color w:val="FFFFFF"/>
                <w:sz w:val="15"/>
              </w:rPr>
              <w:t>Condition and date last inspected</w:t>
            </w:r>
          </w:p>
        </w:tc>
        <w:tc>
          <w:tcPr>
            <w:tcW w:type="dxa" w:w="794"/>
            <w:shd w:val="clear" w:color="auto" w:fill="1e3a8a"/>
          </w:tcPr>
          <w:p>
            <w:r>
              <w:rPr>
                <w:b/>
                <w:color w:val="FFFFFF"/>
                <w:sz w:val="15"/>
              </w:rPr>
              <w:t>Material score</w:t>
            </w:r>
          </w:p>
        </w:tc>
        <w:tc>
          <w:tcPr>
            <w:tcW w:type="dxa" w:w="794"/>
            <w:shd w:val="clear" w:color="auto" w:fill="1e3a8a"/>
          </w:tcPr>
          <w:p>
            <w:r>
              <w:rPr>
                <w:b/>
                <w:color w:val="FFFFFF"/>
                <w:sz w:val="15"/>
              </w:rPr>
              <w:t>Priority score</w:t>
            </w:r>
          </w:p>
        </w:tc>
        <w:tc>
          <w:tcPr>
            <w:tcW w:type="dxa" w:w="1701"/>
            <w:shd w:val="clear" w:color="auto" w:fill="1e3a8a"/>
          </w:tcPr>
          <w:p>
            <w:r>
              <w:rPr>
                <w:b/>
                <w:color w:val="FFFFFF"/>
                <w:sz w:val="15"/>
              </w:rPr>
              <w:t>Action and due date</w:t>
            </w:r>
          </w:p>
        </w:tc>
        <w:tc>
          <w:tcPr>
            <w:tcW w:type="dxa" w:w="907"/>
            <w:shd w:val="clear" w:color="auto" w:fill="1e3a8a"/>
          </w:tcPr>
          <w:p>
            <w:r>
              <w:rPr>
                <w:b/>
                <w:color w:val="FFFFFF"/>
                <w:sz w:val="15"/>
              </w:rPr>
              <w:t>Done (date)</w:t>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r>
        <w:trPr>
          <w:trHeight w:val="396" w:hRule="atLeast"/>
        </w:trPr>
        <w:tc>
          <w:tcPr>
            <w:tcW w:type="dxa" w:w="567"/>
          </w:tcPr>
          <w:p>
            <w:r>
              <w:rPr>
                <w:sz w:val="16"/>
              </w:rPr>
            </w:r>
          </w:p>
        </w:tc>
        <w:tc>
          <w:tcPr>
            <w:tcW w:type="dxa" w:w="1587"/>
          </w:tcPr>
          <w:p>
            <w:r>
              <w:rPr>
                <w:sz w:val="16"/>
              </w:rPr>
            </w:r>
          </w:p>
        </w:tc>
        <w:tc>
          <w:tcPr>
            <w:tcW w:type="dxa" w:w="1474"/>
          </w:tcPr>
          <w:p>
            <w:r>
              <w:rPr>
                <w:sz w:val="16"/>
              </w:rPr>
            </w:r>
          </w:p>
        </w:tc>
        <w:tc>
          <w:tcPr>
            <w:tcW w:type="dxa" w:w="907"/>
          </w:tcPr>
          <w:p>
            <w:r>
              <w:rPr>
                <w:sz w:val="16"/>
              </w:rPr>
            </w:r>
          </w:p>
        </w:tc>
        <w:tc>
          <w:tcPr>
            <w:tcW w:type="dxa" w:w="1587"/>
          </w:tcPr>
          <w:p>
            <w:r>
              <w:rPr>
                <w:sz w:val="16"/>
              </w:rPr>
            </w:r>
          </w:p>
        </w:tc>
        <w:tc>
          <w:tcPr>
            <w:tcW w:type="dxa" w:w="794"/>
          </w:tcPr>
          <w:p>
            <w:r>
              <w:rPr>
                <w:sz w:val="16"/>
              </w:rPr>
            </w:r>
          </w:p>
        </w:tc>
        <w:tc>
          <w:tcPr>
            <w:tcW w:type="dxa" w:w="794"/>
          </w:tcPr>
          <w:p>
            <w:r>
              <w:rPr>
                <w:sz w:val="16"/>
              </w:rPr>
            </w:r>
          </w:p>
        </w:tc>
        <w:tc>
          <w:tcPr>
            <w:tcW w:type="dxa" w:w="1701"/>
          </w:tcPr>
          <w:p>
            <w:r>
              <w:rPr>
                <w:sz w:val="16"/>
              </w:rPr>
            </w:r>
          </w:p>
        </w:tc>
        <w:tc>
          <w:tcPr>
            <w:tcW w:type="dxa" w:w="907"/>
          </w:tcPr>
          <w:p>
            <w:r>
              <w:rPr>
                <w:sz w:val="16"/>
              </w:rPr>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10318"/>
      </w:tblGrid>
      <w:tr>
        <w:tc>
          <w:tcPr>
            <w:tcW w:type="dxa" w:w="10318"/>
          </w:tcPr>
          <w:p>
            <w:r>
              <w:rPr>
                <w:color w:val="52525B"/>
                <w:sz w:val="15"/>
              </w:rPr>
              <w:t>Areas not inspected (presumed to contain asbestos until inspected)</w:t>
            </w:r>
          </w:p>
        </w:tc>
      </w:tr>
      <w:tr>
        <w:trPr>
          <w:trHeight w:val="595" w:hRule="atLeast"/>
        </w:trPr>
        <w:tc>
          <w:tcPr>
            <w:tcW w:type="dxa" w:w="10318"/>
            <w:shd w:val="clear" w:color="auto" w:fill="FAFAFA"/>
          </w:tcPr>
          <w:p>
            <w:r>
              <w:t xml:space="preserve"> </w:t>
            </w:r>
          </w:p>
        </w:tc>
      </w:tr>
    </w:tbl>
    <w:p>
      <w:pPr>
        <w:spacing w:after="0" w:before="0"/>
      </w:pPr>
      <w:r>
        <w:rPr>
          <w:b w:val="0"/>
          <w:sz w:val="4"/>
        </w:rPr>
      </w:r>
    </w:p>
    <w:p>
      <w:r>
        <w:br w:type="page"/>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7. Control arrangements</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10318"/>
      </w:tblGrid>
      <w:tr>
        <w:tc>
          <w:tcPr>
            <w:tcW w:type="dxa" w:w="10318"/>
          </w:tcPr>
          <w:p>
            <w:r>
              <w:rPr>
                <w:color w:val="52525B"/>
                <w:sz w:val="15"/>
              </w:rPr>
              <w:t>How you make sure ACMs are not disturbed (e.g. permit-to-work for work on the building fabric, labelling, restricted access, briefing contractors)</w:t>
            </w:r>
          </w:p>
        </w:tc>
      </w:tr>
      <w:tr>
        <w:trPr>
          <w:trHeight w:val="850" w:hRule="atLeast"/>
        </w:trPr>
        <w:tc>
          <w:tcPr>
            <w:tcW w:type="dxa" w:w="10318"/>
            <w:shd w:val="clear" w:color="auto" w:fill="FAFAFA"/>
          </w:tcPr>
          <w:p>
            <w:r>
              <w:t xml:space="preserve"> </w:t>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8. Emergency procedures</w:t>
            </w:r>
          </w:p>
        </w:tc>
      </w:tr>
    </w:tbl>
    <w:p>
      <w:pPr>
        <w:spacing w:after="0" w:before="0"/>
      </w:pPr>
      <w:r>
        <w:rPr>
          <w:b w:val="0"/>
          <w:sz w:val="4"/>
        </w:rPr>
      </w:r>
    </w:p>
    <w:tbl>
      <w:tblPr>
        <w:tblW w:type="auto" w:w="0"/>
        <w:tblLook w:firstColumn="1" w:firstRow="1" w:lastColumn="0" w:lastRow="0" w:noHBand="0" w:noVBand="1" w:val="04A0"/>
        <w:tblBorders>
          <w:top w:val="single" w:sz="4" w:color="FFFFFF"/>
          <w:left w:val="single" w:sz="4" w:color="FFFFFF"/>
          <w:bottom w:val="single" w:sz="4" w:color="FFFFFF"/>
          <w:right w:val="single" w:sz="4" w:color="FFFFFF"/>
          <w:insideH w:val="single" w:sz="4" w:color="FFFFFF"/>
          <w:insideV w:val="single" w:sz="4" w:color="FFFFFF"/>
        </w:tblBorders>
      </w:tblPr>
      <w:tblGrid>
        <w:gridCol w:w="10318"/>
      </w:tblGrid>
      <w:tr>
        <w:tc>
          <w:tcPr>
            <w:tcW w:type="dxa" w:w="10318"/>
          </w:tcPr>
          <w:p>
            <w:r>
              <w:rPr>
                <w:color w:val="52525B"/>
                <w:sz w:val="15"/>
              </w:rPr>
              <w:t>What happens if ACMs are disturbed by accident: who stops work and keeps people out of the area, who is contacted, how the area is assessed and cleaned up</w:t>
            </w:r>
          </w:p>
        </w:tc>
      </w:tr>
      <w:tr>
        <w:trPr>
          <w:trHeight w:val="850" w:hRule="atLeast"/>
        </w:trPr>
        <w:tc>
          <w:tcPr>
            <w:tcW w:type="dxa" w:w="10318"/>
            <w:shd w:val="clear" w:color="auto" w:fill="FAFAFA"/>
          </w:tcPr>
          <w:p>
            <w:r>
              <w:t xml:space="preserve"> </w:t>
            </w:r>
          </w:p>
        </w:tc>
      </w:tr>
      <w:tr>
        <w:tc>
          <w:tcPr>
            <w:tcW w:type="dxa" w:w="10318"/>
          </w:tcPr>
          <w:p>
            <w:r>
              <w:rPr>
                <w:color w:val="52525B"/>
                <w:sz w:val="15"/>
              </w:rPr>
              <w:t>Information given to the emergency services about the location and condition of known ACMs</w:t>
            </w:r>
          </w:p>
        </w:tc>
      </w:tr>
      <w:tr>
        <w:trPr>
          <w:trHeight w:val="340" w:hRule="atLeast"/>
        </w:trPr>
        <w:tc>
          <w:tcPr>
            <w:tcW w:type="dxa" w:w="10318"/>
            <w:shd w:val="clear" w:color="auto" w:fill="FAFAFA"/>
          </w:tcPr>
          <w:p>
            <w:r>
              <w:t xml:space="preserve"> </w:t>
            </w:r>
          </w:p>
        </w:tc>
      </w:tr>
    </w:tbl>
    <w:p>
      <w:pPr>
        <w:spacing w:after="0" w:before="0"/>
      </w:pPr>
      <w:r>
        <w:rPr>
          <w:b w:val="0"/>
          <w:sz w:val="4"/>
        </w:rPr>
      </w:r>
    </w:p>
    <w:tbl>
      <w:tblPr>
        <w:tblW w:type="auto" w:w="0"/>
        <w:tblLook w:firstColumn="1" w:firstRow="1" w:lastColumn="0" w:lastRow="0" w:noHBand="0" w:noVBand="1" w:val="04A0"/>
      </w:tblPr>
      <w:tblGrid>
        <w:gridCol w:w="10318"/>
      </w:tblGrid>
      <w:tr>
        <w:tc>
          <w:tcPr>
            <w:tcW w:type="dxa" w:w="10318"/>
            <w:shd w:val="clear" w:color="auto" w:fill="F4F4F5"/>
          </w:tcPr>
          <w:p>
            <w:r>
              <w:rPr>
                <w:b/>
                <w:color w:val="1E3A8A"/>
                <w:sz w:val="20"/>
              </w:rPr>
              <w:t>9. Review log</w:t>
            </w:r>
          </w:p>
        </w:tc>
      </w:tr>
    </w:tbl>
    <w:p>
      <w:pPr>
        <w:spacing w:after="0" w:before="0"/>
      </w:pPr>
      <w:r>
        <w:rPr>
          <w:b w:val="0"/>
          <w:sz w:val="4"/>
        </w:rPr>
      </w:r>
    </w:p>
    <w:p>
      <w:pPr>
        <w:spacing w:after="40" w:before="0"/>
      </w:pPr>
      <w:r>
        <w:rPr>
          <w:b w:val="0"/>
          <w:sz w:val="18"/>
        </w:rPr>
        <w:t>HSE says to review the plan at least every 12 months, and whenever work affects ACMs, when staff with management responsibilities change, after ACMs are disturbed by accident, and after scheduled condition checks.</w:t>
      </w:r>
    </w:p>
    <w:tbl>
      <w:tblPr>
        <w:tblW w:type="auto" w:w="0"/>
        <w:tblLook w:firstColumn="1" w:firstRow="1" w:lastColumn="0" w:lastRow="0" w:noHBand="0" w:noVBand="1" w:val="04A0"/>
        <w:jc w:val="center"/>
        <w:tblBorders>
          <w:top w:val="single" w:sz="4" w:color="A1A1AA"/>
          <w:left w:val="single" w:sz="4" w:color="A1A1AA"/>
          <w:bottom w:val="single" w:sz="4" w:color="A1A1AA"/>
          <w:right w:val="single" w:sz="4" w:color="A1A1AA"/>
          <w:insideH w:val="single" w:sz="4" w:color="A1A1AA"/>
          <w:insideV w:val="single" w:sz="4" w:color="A1A1AA"/>
        </w:tblBorders>
      </w:tblPr>
      <w:tblGrid>
        <w:gridCol w:w="2579"/>
        <w:gridCol w:w="2579"/>
        <w:gridCol w:w="2579"/>
        <w:gridCol w:w="2579"/>
      </w:tblGrid>
      <w:tr>
        <w:tc>
          <w:tcPr>
            <w:tcW w:type="dxa" w:w="1451"/>
            <w:shd w:val="clear" w:color="auto" w:fill="1e3a8a"/>
          </w:tcPr>
          <w:p>
            <w:r>
              <w:rPr>
                <w:b/>
                <w:color w:val="FFFFFF"/>
                <w:sz w:val="15"/>
              </w:rPr>
              <w:t>Date</w:t>
            </w:r>
          </w:p>
        </w:tc>
        <w:tc>
          <w:tcPr>
            <w:tcW w:type="dxa" w:w="2902"/>
            <w:shd w:val="clear" w:color="auto" w:fill="1e3a8a"/>
          </w:tcPr>
          <w:p>
            <w:r>
              <w:rPr>
                <w:b/>
                <w:color w:val="FFFFFF"/>
                <w:sz w:val="15"/>
              </w:rPr>
              <w:t>Reason for review</w:t>
            </w:r>
          </w:p>
        </w:tc>
        <w:tc>
          <w:tcPr>
            <w:tcW w:type="dxa" w:w="4192"/>
            <w:shd w:val="clear" w:color="auto" w:fill="1e3a8a"/>
          </w:tcPr>
          <w:p>
            <w:r>
              <w:rPr>
                <w:b/>
                <w:color w:val="FFFFFF"/>
                <w:sz w:val="15"/>
              </w:rPr>
              <w:t>Changes made</w:t>
            </w:r>
          </w:p>
        </w:tc>
        <w:tc>
          <w:tcPr>
            <w:tcW w:type="dxa" w:w="1773"/>
            <w:shd w:val="clear" w:color="auto" w:fill="1e3a8a"/>
          </w:tcPr>
          <w:p>
            <w:r>
              <w:rPr>
                <w:b/>
                <w:color w:val="FFFFFF"/>
                <w:sz w:val="15"/>
              </w:rPr>
              <w:t>Reviewed by</w:t>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r>
        <w:trPr>
          <w:trHeight w:val="396" w:hRule="atLeast"/>
        </w:trPr>
        <w:tc>
          <w:tcPr>
            <w:tcW w:type="dxa" w:w="1451"/>
          </w:tcPr>
          <w:p>
            <w:r>
              <w:rPr>
                <w:sz w:val="16"/>
              </w:rPr>
            </w:r>
          </w:p>
        </w:tc>
        <w:tc>
          <w:tcPr>
            <w:tcW w:type="dxa" w:w="2902"/>
          </w:tcPr>
          <w:p>
            <w:r>
              <w:rPr>
                <w:sz w:val="16"/>
              </w:rPr>
            </w:r>
          </w:p>
        </w:tc>
        <w:tc>
          <w:tcPr>
            <w:tcW w:type="dxa" w:w="4192"/>
          </w:tcPr>
          <w:p>
            <w:r>
              <w:rPr>
                <w:sz w:val="16"/>
              </w:rPr>
            </w:r>
          </w:p>
        </w:tc>
        <w:tc>
          <w:tcPr>
            <w:tcW w:type="dxa" w:w="1773"/>
          </w:tcPr>
          <w:p>
            <w:r>
              <w:rPr>
                <w:sz w:val="16"/>
              </w:rPr>
            </w:r>
          </w:p>
        </w:tc>
      </w:tr>
    </w:tbl>
    <w:p>
      <w:pPr>
        <w:spacing w:after="0" w:before="0"/>
      </w:pPr>
      <w:r>
        <w:rPr>
          <w:b w:val="0"/>
          <w:sz w:val="4"/>
        </w:rPr>
      </w:r>
    </w:p>
    <w:sectPr w:rsidR="00FC693F" w:rsidRPr="0006063C" w:rsidSect="00034616">
      <w:headerReference w:type="default" r:id="rId9"/>
      <w:footerReference w:type="default" r:id="rId10"/>
      <w:pgSz w:w="11906" w:h="16838"/>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525B"/>
        <w:sz w:val="14"/>
      </w:rPr>
      <w:t>Based on: HSE guidance: the duty to manage asbestos, make a register and assess the risk, and write your asbestos management plan. Free template, not an HSE form. It is only as reliable as the survey behind it: any area not inspected must be presumed to contain asbestos until it is. Contains public sector information licensed under the Open Government Licence v3.0. General guidance,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E3A8A"/>
        <w:sz w:val="20"/>
      </w:rPr>
      <w:t>Is There Asbestos?</w:t>
    </w:r>
    <w:r>
      <w:rPr>
        <w:color w:val="71717A"/>
        <w:sz w:val="16"/>
      </w:rPr>
      <w:t xml:space="preserve">   isthereasbestos.co.uk  ·  Asbestos management plan and register  ·  Free template v1.0,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management plan and register</dc:title>
  <dc:subject/>
  <dc:creator>Is There Asbestos?</dc:creator>
  <cp:keywords/>
  <dc:description>Free template from isthereasbestos.co.uk</dc:description>
  <cp:lastModifiedBy/>
  <cp:revision>1</cp:revision>
  <dcterms:created xsi:type="dcterms:W3CDTF">2013-12-23T23:15:00Z</dcterms:created>
  <dcterms:modified xsi:type="dcterms:W3CDTF">2013-12-23T23:15:00Z</dcterms:modified>
  <cp:category/>
</cp:coreProperties>
</file>